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5" w:line="184" w:lineRule="auto"/>
        <w:ind w:firstLine="76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</w:rPr>
        <w:t>附件</w:t>
      </w:r>
      <w:r>
        <w:rPr>
          <w:rFonts w:ascii="黑体" w:hAnsi="黑体" w:eastAsia="黑体" w:cs="黑体"/>
          <w:spacing w:val="-4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1</w:t>
      </w:r>
    </w:p>
    <w:p>
      <w:pPr>
        <w:spacing w:before="294" w:line="183" w:lineRule="auto"/>
        <w:ind w:firstLine="42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7"/>
          <w:sz w:val="44"/>
          <w:szCs w:val="44"/>
        </w:rPr>
        <w:t>部门（单位）</w:t>
      </w:r>
      <w:r>
        <w:rPr>
          <w:rFonts w:ascii="宋体" w:hAnsi="宋体" w:eastAsia="宋体" w:cs="宋体"/>
          <w:spacing w:val="-11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整体绩效自评表</w:t>
      </w:r>
    </w:p>
    <w:p/>
    <w:p>
      <w:pPr>
        <w:spacing w:line="34" w:lineRule="exact"/>
      </w:pPr>
    </w:p>
    <w:tbl>
      <w:tblPr>
        <w:tblStyle w:val="4"/>
        <w:tblW w:w="12870" w:type="dxa"/>
        <w:tblInd w:w="7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576"/>
        <w:gridCol w:w="1282"/>
        <w:gridCol w:w="986"/>
        <w:gridCol w:w="622"/>
        <w:gridCol w:w="710"/>
        <w:gridCol w:w="86"/>
        <w:gridCol w:w="548"/>
        <w:gridCol w:w="866"/>
        <w:gridCol w:w="334"/>
        <w:gridCol w:w="1227"/>
        <w:gridCol w:w="852"/>
        <w:gridCol w:w="105"/>
        <w:gridCol w:w="1237"/>
        <w:gridCol w:w="179"/>
        <w:gridCol w:w="12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853" w:type="dxa"/>
            <w:gridSpan w:val="3"/>
            <w:vAlign w:val="top"/>
          </w:tcPr>
          <w:p>
            <w:pPr>
              <w:spacing w:before="69" w:line="185" w:lineRule="auto"/>
              <w:ind w:firstLine="10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部门（单位）名称</w:t>
            </w:r>
          </w:p>
        </w:tc>
        <w:tc>
          <w:tcPr>
            <w:tcW w:w="9017" w:type="dxa"/>
            <w:gridSpan w:val="13"/>
            <w:vAlign w:val="top"/>
          </w:tcPr>
          <w:p>
            <w:pPr>
              <w:tabs>
                <w:tab w:val="left" w:pos="3291"/>
              </w:tabs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大厂回族自治县住房和城乡建设局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853" w:type="dxa"/>
            <w:gridSpan w:val="3"/>
            <w:vAlign w:val="top"/>
          </w:tcPr>
          <w:p>
            <w:pPr>
              <w:spacing w:before="64" w:line="185" w:lineRule="auto"/>
              <w:ind w:firstLine="16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联系人</w:t>
            </w:r>
          </w:p>
        </w:tc>
        <w:tc>
          <w:tcPr>
            <w:tcW w:w="23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李晓乐</w:t>
            </w:r>
          </w:p>
        </w:tc>
        <w:tc>
          <w:tcPr>
            <w:tcW w:w="1834" w:type="dxa"/>
            <w:gridSpan w:val="4"/>
            <w:vAlign w:val="top"/>
          </w:tcPr>
          <w:p>
            <w:pPr>
              <w:spacing w:before="64" w:line="185" w:lineRule="auto"/>
              <w:ind w:firstLine="4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4865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13932638886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53" w:type="dxa"/>
            <w:gridSpan w:val="3"/>
            <w:vAlign w:val="top"/>
          </w:tcPr>
          <w:p>
            <w:pPr>
              <w:spacing w:before="65" w:line="185" w:lineRule="auto"/>
              <w:ind w:firstLine="14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评价时段</w:t>
            </w:r>
          </w:p>
        </w:tc>
        <w:tc>
          <w:tcPr>
            <w:tcW w:w="9017" w:type="dxa"/>
            <w:gridSpan w:val="13"/>
            <w:vAlign w:val="top"/>
          </w:tcPr>
          <w:p>
            <w:pPr>
              <w:spacing w:before="65" w:line="185" w:lineRule="auto"/>
              <w:ind w:firstLine="207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日（财政统一要求）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/>
              <w:ind w:firstLine="8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年度部门</w:t>
            </w:r>
          </w:p>
          <w:p>
            <w:pPr>
              <w:spacing w:line="204" w:lineRule="auto"/>
              <w:ind w:firstLine="56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（单位）预算</w:t>
            </w:r>
          </w:p>
          <w:p>
            <w:pPr>
              <w:spacing w:before="45" w:line="185" w:lineRule="auto"/>
              <w:ind w:firstLine="8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执行情况</w:t>
            </w:r>
          </w:p>
        </w:tc>
        <w:tc>
          <w:tcPr>
            <w:tcW w:w="5100" w:type="dxa"/>
            <w:gridSpan w:val="7"/>
            <w:vAlign w:val="top"/>
          </w:tcPr>
          <w:p>
            <w:pPr>
              <w:spacing w:before="65" w:line="185" w:lineRule="auto"/>
              <w:ind w:firstLine="16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预算收入（万元）</w:t>
            </w:r>
          </w:p>
        </w:tc>
        <w:tc>
          <w:tcPr>
            <w:tcW w:w="5199" w:type="dxa"/>
            <w:gridSpan w:val="7"/>
            <w:vAlign w:val="top"/>
          </w:tcPr>
          <w:p>
            <w:pPr>
              <w:spacing w:before="65" w:line="185" w:lineRule="auto"/>
              <w:ind w:firstLine="16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预算支出（万元）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5" w:line="185" w:lineRule="auto"/>
              <w:ind w:firstLine="67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收入科目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spacing w:before="65" w:line="185" w:lineRule="auto"/>
              <w:ind w:firstLine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预算数</w:t>
            </w:r>
          </w:p>
        </w:tc>
        <w:tc>
          <w:tcPr>
            <w:tcW w:w="1414" w:type="dxa"/>
            <w:gridSpan w:val="2"/>
            <w:vAlign w:val="top"/>
          </w:tcPr>
          <w:p>
            <w:pPr>
              <w:spacing w:before="65" w:line="185" w:lineRule="auto"/>
              <w:ind w:firstLine="3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执行数</w:t>
            </w:r>
          </w:p>
        </w:tc>
        <w:tc>
          <w:tcPr>
            <w:tcW w:w="2413" w:type="dxa"/>
            <w:gridSpan w:val="3"/>
            <w:vAlign w:val="top"/>
          </w:tcPr>
          <w:p>
            <w:pPr>
              <w:spacing w:before="65" w:line="185" w:lineRule="auto"/>
              <w:ind w:firstLine="73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支出科目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spacing w:before="65" w:line="185" w:lineRule="auto"/>
              <w:ind w:firstLine="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预算数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spacing w:before="65" w:line="185" w:lineRule="auto"/>
              <w:ind w:firstLine="37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执行数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5" w:line="185" w:lineRule="auto"/>
              <w:ind w:firstLine="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财政拨款收入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20281.53</w:t>
            </w:r>
          </w:p>
        </w:tc>
        <w:tc>
          <w:tcPr>
            <w:tcW w:w="141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9497.29</w:t>
            </w:r>
          </w:p>
        </w:tc>
        <w:tc>
          <w:tcPr>
            <w:tcW w:w="2413" w:type="dxa"/>
            <w:gridSpan w:val="3"/>
            <w:vAlign w:val="top"/>
          </w:tcPr>
          <w:p>
            <w:pPr>
              <w:spacing w:before="65" w:line="185" w:lineRule="auto"/>
              <w:ind w:firstLine="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人员经费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1884.33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1927.51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5" w:line="185" w:lineRule="auto"/>
              <w:ind w:firstLine="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上级补助收入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  <w:tc>
          <w:tcPr>
            <w:tcW w:w="2413" w:type="dxa"/>
            <w:gridSpan w:val="3"/>
            <w:vAlign w:val="top"/>
          </w:tcPr>
          <w:p>
            <w:pPr>
              <w:spacing w:before="65" w:line="185" w:lineRule="auto"/>
              <w:ind w:firstLine="6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日常公用经费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156.39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144.79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6" w:line="185" w:lineRule="auto"/>
              <w:ind w:firstLine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事业收入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  <w:tc>
          <w:tcPr>
            <w:tcW w:w="2413" w:type="dxa"/>
            <w:gridSpan w:val="3"/>
            <w:vAlign w:val="top"/>
          </w:tcPr>
          <w:p>
            <w:pPr>
              <w:spacing w:before="66" w:line="185" w:lineRule="auto"/>
              <w:ind w:firstLine="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专项公用支出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6" w:line="185" w:lineRule="auto"/>
              <w:ind w:firstLine="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经营收入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  <w:tc>
          <w:tcPr>
            <w:tcW w:w="2413" w:type="dxa"/>
            <w:gridSpan w:val="3"/>
            <w:vAlign w:val="top"/>
          </w:tcPr>
          <w:p>
            <w:pPr>
              <w:spacing w:before="66" w:line="185" w:lineRule="auto"/>
              <w:ind w:firstLine="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专项项目支出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18240.81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20811.86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8" w:line="185" w:lineRule="auto"/>
              <w:ind w:firstLine="3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附属单位上缴收入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  <w:tc>
          <w:tcPr>
            <w:tcW w:w="2413" w:type="dxa"/>
            <w:gridSpan w:val="3"/>
            <w:vAlign w:val="top"/>
          </w:tcPr>
          <w:p>
            <w:pPr>
              <w:spacing w:before="108" w:line="190" w:lineRule="auto"/>
              <w:ind w:firstLine="9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——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before="66" w:line="185" w:lineRule="auto"/>
              <w:ind w:firstLine="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其他收入</w:t>
            </w:r>
          </w:p>
        </w:tc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  <w:tc>
          <w:tcPr>
            <w:tcW w:w="2413" w:type="dxa"/>
            <w:gridSpan w:val="3"/>
            <w:vAlign w:val="top"/>
          </w:tcPr>
          <w:p>
            <w:pPr>
              <w:spacing w:before="106" w:line="190" w:lineRule="auto"/>
              <w:ind w:firstLine="9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——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71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before="66" w:line="185" w:lineRule="auto"/>
              <w:ind w:firstLine="9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合计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20281.53</w:t>
            </w:r>
          </w:p>
        </w:tc>
        <w:tc>
          <w:tcPr>
            <w:tcW w:w="141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9497.29</w:t>
            </w:r>
          </w:p>
        </w:tc>
        <w:tc>
          <w:tcPr>
            <w:tcW w:w="241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before="66" w:line="185" w:lineRule="auto"/>
              <w:ind w:firstLine="9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合计</w:t>
            </w:r>
          </w:p>
        </w:tc>
        <w:tc>
          <w:tcPr>
            <w:tcW w:w="134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20281.53</w:t>
            </w:r>
          </w:p>
        </w:tc>
        <w:tc>
          <w:tcPr>
            <w:tcW w:w="144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cy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22884.16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5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/>
              <w:ind w:firstLine="26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年度</w:t>
            </w:r>
          </w:p>
          <w:p>
            <w:pPr>
              <w:spacing w:line="204" w:lineRule="auto"/>
              <w:ind w:firstLine="27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主要</w:t>
            </w:r>
          </w:p>
          <w:p>
            <w:pPr>
              <w:spacing w:before="45" w:line="185" w:lineRule="auto"/>
              <w:ind w:firstLine="26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任务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256" w:line="185" w:lineRule="auto"/>
              <w:ind w:firstLine="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工作任务名称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101"/>
              <w:ind w:right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工作任务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完成情况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101"/>
              <w:ind w:right="10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对应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安排项目</w:t>
            </w:r>
          </w:p>
        </w:tc>
        <w:tc>
          <w:tcPr>
            <w:tcW w:w="1344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256" w:line="185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项目完成情况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101"/>
              <w:ind w:left="62" w:right="66" w:firstLine="1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预算数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before="67" w:line="185" w:lineRule="auto"/>
              <w:ind w:firstLine="1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其中：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101"/>
              <w:ind w:left="200" w:right="199" w:firstLine="1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执行数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7" w:line="185" w:lineRule="auto"/>
              <w:ind w:firstLine="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7" w:type="dxa"/>
            <w:vAlign w:val="top"/>
          </w:tcPr>
          <w:p>
            <w:pPr>
              <w:spacing w:before="67" w:line="185" w:lineRule="auto"/>
              <w:ind w:firstLine="9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财政拨款</w:t>
            </w:r>
          </w:p>
        </w:tc>
        <w:tc>
          <w:tcPr>
            <w:tcW w:w="957" w:type="dxa"/>
            <w:gridSpan w:val="2"/>
            <w:vAlign w:val="top"/>
          </w:tcPr>
          <w:p>
            <w:pPr>
              <w:spacing w:before="67" w:line="185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其他资金</w:t>
            </w:r>
          </w:p>
        </w:tc>
        <w:tc>
          <w:tcPr>
            <w:tcW w:w="141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color="auto" w:sz="4" w:space="0"/>
            </w:tcBorders>
            <w:vAlign w:val="top"/>
          </w:tcPr>
          <w:p>
            <w:pPr>
              <w:spacing w:before="67" w:line="185" w:lineRule="auto"/>
              <w:ind w:firstLine="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北辰街非机动车道抢修工程、城区排水管网入河排水口改造升级工程等10项工程项目</w:t>
            </w:r>
          </w:p>
        </w:tc>
        <w:tc>
          <w:tcPr>
            <w:tcW w:w="1282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该任务完成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北辰街非机动车道抢修工程、城区排水管网入河排水口改造升级工程等10项工程项目</w:t>
            </w:r>
          </w:p>
        </w:tc>
        <w:tc>
          <w:tcPr>
            <w:tcW w:w="13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该项目完成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522.7237</w:t>
            </w:r>
          </w:p>
        </w:tc>
        <w:tc>
          <w:tcPr>
            <w:tcW w:w="12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522.7237</w:t>
            </w:r>
          </w:p>
        </w:tc>
        <w:tc>
          <w:tcPr>
            <w:tcW w:w="9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522.7237</w:t>
            </w:r>
          </w:p>
        </w:tc>
        <w:tc>
          <w:tcPr>
            <w:tcW w:w="126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522.7237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大厂县城区路网改造提升工程（2019）项目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该任务完成</w:t>
            </w:r>
          </w:p>
        </w:tc>
        <w:tc>
          <w:tcPr>
            <w:tcW w:w="160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大厂县城区路网改造提升工程（2019）项目</w:t>
            </w:r>
          </w:p>
        </w:tc>
        <w:tc>
          <w:tcPr>
            <w:tcW w:w="13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该项目完成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377</w:t>
            </w:r>
          </w:p>
        </w:tc>
        <w:tc>
          <w:tcPr>
            <w:tcW w:w="12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377</w:t>
            </w:r>
          </w:p>
        </w:tc>
        <w:tc>
          <w:tcPr>
            <w:tcW w:w="9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377</w:t>
            </w:r>
          </w:p>
        </w:tc>
        <w:tc>
          <w:tcPr>
            <w:tcW w:w="126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2019-2020年采暖期提前、延长供暖补贴费用项目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该任务完成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2019-2020年采暖期提前、延长供暖补贴费用项目</w:t>
            </w:r>
          </w:p>
        </w:tc>
        <w:tc>
          <w:tcPr>
            <w:tcW w:w="134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该项目完成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307.7163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307.7163</w:t>
            </w:r>
          </w:p>
        </w:tc>
        <w:tc>
          <w:tcPr>
            <w:tcW w:w="95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307.7163</w:t>
            </w:r>
          </w:p>
        </w:tc>
        <w:tc>
          <w:tcPr>
            <w:tcW w:w="126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307.7163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baseline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7000吨临时污水处理设施运行费项目</w:t>
            </w:r>
          </w:p>
        </w:tc>
        <w:tc>
          <w:tcPr>
            <w:tcW w:w="1282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该任务完成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7000吨临时污水处理设施运行费项目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该项目完成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648.864482</w:t>
            </w:r>
          </w:p>
        </w:tc>
        <w:tc>
          <w:tcPr>
            <w:tcW w:w="122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648.864482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648.864482</w:t>
            </w:r>
          </w:p>
        </w:tc>
        <w:tc>
          <w:tcPr>
            <w:tcW w:w="126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648.864482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baseline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2020年绿化养护费项目</w:t>
            </w: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该任务完成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2020年绿化养护费项目</w:t>
            </w:r>
          </w:p>
        </w:tc>
        <w:tc>
          <w:tcPr>
            <w:tcW w:w="13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该项目完成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784.196251</w:t>
            </w:r>
          </w:p>
        </w:tc>
        <w:tc>
          <w:tcPr>
            <w:tcW w:w="12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784.196251</w:t>
            </w:r>
          </w:p>
        </w:tc>
        <w:tc>
          <w:tcPr>
            <w:tcW w:w="9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784.196251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784.196251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textAlignment w:val="baseline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物业住宅小区改造项目</w:t>
            </w: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该任务完成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物业住宅小区改造项目</w:t>
            </w:r>
          </w:p>
        </w:tc>
        <w:tc>
          <w:tcPr>
            <w:tcW w:w="13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该项目完成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466</w:t>
            </w:r>
          </w:p>
        </w:tc>
        <w:tc>
          <w:tcPr>
            <w:tcW w:w="12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466</w:t>
            </w:r>
          </w:p>
        </w:tc>
        <w:tc>
          <w:tcPr>
            <w:tcW w:w="9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466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Align w:val="top"/>
          </w:tcPr>
          <w:p>
            <w:pPr>
              <w:spacing w:before="108" w:line="190" w:lineRule="auto"/>
              <w:ind w:firstLine="572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0" w:type="dxa"/>
            <w:gridSpan w:val="7"/>
            <w:vAlign w:val="top"/>
          </w:tcPr>
          <w:p>
            <w:pPr>
              <w:spacing w:before="68" w:line="185" w:lineRule="auto"/>
              <w:ind w:firstLine="253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金额合计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3106.500733</w:t>
            </w:r>
          </w:p>
        </w:tc>
        <w:tc>
          <w:tcPr>
            <w:tcW w:w="122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3106.500733</w:t>
            </w:r>
          </w:p>
        </w:tc>
        <w:tc>
          <w:tcPr>
            <w:tcW w:w="95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3106.500733</w:t>
            </w:r>
          </w:p>
        </w:tc>
        <w:tc>
          <w:tcPr>
            <w:tcW w:w="126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3106.500733</w:t>
            </w:r>
          </w:p>
        </w:tc>
      </w:tr>
    </w:tbl>
    <w:p>
      <w:pPr>
        <w:spacing w:line="36" w:lineRule="exact"/>
      </w:pPr>
    </w:p>
    <w:tbl>
      <w:tblPr>
        <w:tblStyle w:val="4"/>
        <w:tblW w:w="12870" w:type="dxa"/>
        <w:tblInd w:w="7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144"/>
        <w:gridCol w:w="1400"/>
        <w:gridCol w:w="707"/>
        <w:gridCol w:w="973"/>
        <w:gridCol w:w="520"/>
        <w:gridCol w:w="1867"/>
        <w:gridCol w:w="4247"/>
        <w:gridCol w:w="10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95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ind w:firstLine="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一级指标</w:t>
            </w:r>
          </w:p>
        </w:tc>
        <w:tc>
          <w:tcPr>
            <w:tcW w:w="1144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二级指标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三级指标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目标值</w:t>
            </w:r>
          </w:p>
        </w:tc>
        <w:tc>
          <w:tcPr>
            <w:tcW w:w="973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实际值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权重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93" w:lineRule="auto"/>
              <w:ind w:firstLine="66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指标解释*</w:t>
            </w:r>
          </w:p>
        </w:tc>
        <w:tc>
          <w:tcPr>
            <w:tcW w:w="4247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93" w:lineRule="auto"/>
              <w:ind w:firstLine="14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评分规则*</w:t>
            </w:r>
          </w:p>
        </w:tc>
        <w:tc>
          <w:tcPr>
            <w:tcW w:w="1017" w:type="dxa"/>
            <w:tcBorders>
              <w:bottom w:val="single" w:color="auto" w:sz="4" w:space="0"/>
            </w:tcBorders>
            <w:vAlign w:val="top"/>
          </w:tcPr>
          <w:p>
            <w:pPr>
              <w:spacing w:before="69" w:line="185" w:lineRule="auto"/>
              <w:ind w:firstLine="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5" w:line="251" w:lineRule="auto"/>
              <w:ind w:left="11" w:firstLine="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部门管理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（40</w:t>
            </w:r>
            <w:r>
              <w:rPr>
                <w:rFonts w:hint="eastAsia" w:ascii="仿宋" w:hAnsi="仿宋" w:eastAsia="仿宋" w:cs="仿宋"/>
                <w:spacing w:val="15"/>
                <w:w w:val="10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分）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资金投入</w:t>
            </w:r>
          </w:p>
        </w:tc>
        <w:tc>
          <w:tcPr>
            <w:tcW w:w="1400" w:type="dxa"/>
            <w:tcBorders>
              <w:top w:val="single" w:color="auto" w:sz="4" w:space="0"/>
            </w:tcBorders>
            <w:vAlign w:val="top"/>
          </w:tcPr>
          <w:p>
            <w:pPr>
              <w:spacing w:before="119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highlight w:val="none"/>
              </w:rPr>
              <w:t>预算完成率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100%</w:t>
            </w:r>
          </w:p>
        </w:tc>
        <w:tc>
          <w:tcPr>
            <w:tcW w:w="973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112.84%</w:t>
            </w:r>
          </w:p>
        </w:tc>
        <w:tc>
          <w:tcPr>
            <w:tcW w:w="52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4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考察部门（单位）本年度预算完成数与调整预算数的比率。</w:t>
            </w:r>
          </w:p>
        </w:tc>
        <w:tc>
          <w:tcPr>
            <w:tcW w:w="4247" w:type="dxa"/>
            <w:tcBorders>
              <w:top w:val="single" w:color="auto" w:sz="4" w:space="0"/>
            </w:tcBorders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预算完成率大于或等于95%的，得满分；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预算完成率小于或等于85%的，得0分；3.预算完成率在85%—95%之间的，在0分和满分之间计算确定：得分= （实际值-85% ）/10%* 权重。</w:t>
            </w:r>
          </w:p>
        </w:tc>
        <w:tc>
          <w:tcPr>
            <w:tcW w:w="1017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before="120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highlight w:val="none"/>
              </w:rPr>
              <w:t>预算调整率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100%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46.82%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考察部门（单位）本年度预算调整数与预算数的比率。</w:t>
            </w:r>
          </w:p>
        </w:tc>
        <w:tc>
          <w:tcPr>
            <w:tcW w:w="424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1.预算调整率等于0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得满分；2.预算调整率增幅或降幅大于等于5%的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得0分；3.预算调整率在0—5%之间的，在0分和满分之间计算确定：得分=（ 5%-|实际值| ）/5%* 权重|实际值|为实际值的绝对值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before="121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支出进度率</w:t>
            </w:r>
          </w:p>
        </w:tc>
        <w:tc>
          <w:tcPr>
            <w:tcW w:w="70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88.63%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实际支付进度与  既定支付进度的  比率。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1.支付进度率大于或等于100%的，得满分2.支付进度率小于或等于60%的，不得分3.支付进度率在60%— 100% 之间的，在0分和满分之间计算确定：得分= （实际值-60% ）/40%* 权重。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top"/>
          </w:tcPr>
          <w:p>
            <w:pPr>
              <w:spacing w:before="121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“三公经费”变动率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-28.73%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本年度三公经费预算数与上年度“三公经费”预算数的变动比率。</w:t>
            </w:r>
          </w:p>
        </w:tc>
        <w:tc>
          <w:tcPr>
            <w:tcW w:w="4247" w:type="dxa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实际值小于等于0得满分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每增加1%扣权重分的10%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扣完为止。</w:t>
            </w:r>
          </w:p>
        </w:tc>
        <w:tc>
          <w:tcPr>
            <w:tcW w:w="101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vAlign w:val="top"/>
          </w:tcPr>
          <w:p>
            <w:pPr>
              <w:spacing w:before="122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结转结余变动率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-72.29%</w:t>
            </w:r>
          </w:p>
        </w:tc>
        <w:tc>
          <w:tcPr>
            <w:tcW w:w="52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对结转结余控制  的努力程度。</w:t>
            </w:r>
          </w:p>
        </w:tc>
        <w:tc>
          <w:tcPr>
            <w:tcW w:w="4247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实际值小于等于0得满分，每增加 1%扣权重分的10%， 扣完为止。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财务管理</w:t>
            </w:r>
          </w:p>
        </w:tc>
        <w:tc>
          <w:tcPr>
            <w:tcW w:w="1400" w:type="dxa"/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财务管理制度健全性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健全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健全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财务制度是否健  全、完善、有效。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不具备要点 1 实际值得 0 权 重分，具备要点 2 实际值得 50%权重分，具备要点 3 实 际值得 50%权重分。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资金使用合规性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合规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合规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考察部门（单位）预算资金的使用规范程度，部门预算资金使用是否符合相关法律法规、制度和规定。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具备要点1-6得100%权重分，任意一项不具备得0权重分。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采购管理</w:t>
            </w:r>
          </w:p>
        </w:tc>
        <w:tc>
          <w:tcPr>
            <w:tcW w:w="1400" w:type="dxa"/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政府采购执行率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0%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考察部门（单位）本年度实际政府采购金额与年初政府采购预算的比率。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1.政府采购执行率大于或等于95%的，得满分；2.政府采购执行率小于或等于85%的，得0分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3.政府采购执行率在85%-95%之间的， 在0分和满分之间计算确定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得分=（实际值-85% ）/10%* 权重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资产管理</w:t>
            </w:r>
          </w:p>
        </w:tc>
        <w:tc>
          <w:tcPr>
            <w:tcW w:w="1400" w:type="dxa"/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资产管理规范性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规范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规范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对资产是否进行  规范管理。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不具备要点1实际值得0权重分，具备要点 2-6 实际值各得20%权重分。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color="auto" w:sz="4" w:space="0"/>
            </w:tcBorders>
            <w:vAlign w:val="top"/>
          </w:tcPr>
          <w:p>
            <w:pPr>
              <w:spacing w:before="12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人员管理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在职人员控制率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对人员成本的控  制程度。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实际值小于等于100%得满分，每增加1%扣权重分的10%，扣完为止。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信息管理</w:t>
            </w:r>
          </w:p>
        </w:tc>
        <w:tc>
          <w:tcPr>
            <w:tcW w:w="140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预决算信息公开性</w:t>
            </w:r>
          </w:p>
        </w:tc>
        <w:tc>
          <w:tcPr>
            <w:tcW w:w="707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公开</w:t>
            </w:r>
          </w:p>
        </w:tc>
        <w:tc>
          <w:tcPr>
            <w:tcW w:w="973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公开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考察部门单位是否按照政府信息公开有关规定，公开相关预决算息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具备要点1实际值得50%权重分，具备要点 2实际值得50%权重分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3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基础信息完备性</w:t>
            </w: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完整</w:t>
            </w:r>
          </w:p>
        </w:tc>
        <w:tc>
          <w:tcPr>
            <w:tcW w:w="973" w:type="dxa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完整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基础信息是否完  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是否可以支  撑预算管理工作。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不具备要点1实际值得0权重分，具备要点 2实际值得50%权重分，具备要点3实际值得50%权重分。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4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绩效管理</w:t>
            </w: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绩效管理制度健全性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健全</w:t>
            </w:r>
          </w:p>
        </w:tc>
        <w:tc>
          <w:tcPr>
            <w:tcW w:w="97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健全</w:t>
            </w:r>
          </w:p>
        </w:tc>
        <w:tc>
          <w:tcPr>
            <w:tcW w:w="52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考察部门（单位）预算绩效管理制  度是否健全、完 善、有效。</w:t>
            </w:r>
          </w:p>
        </w:tc>
        <w:tc>
          <w:tcPr>
            <w:tcW w:w="4247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不具备要点1实际值得0权重分，具备要点 2实际值得50%权重分，具备要点3实际值得50%权重分。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vAlign w:val="top"/>
          </w:tcPr>
          <w:p>
            <w:pPr>
              <w:spacing w:before="12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绩效目标审核通过率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申报的绩效目标  审核通过情况。</w:t>
            </w:r>
          </w:p>
        </w:tc>
        <w:tc>
          <w:tcPr>
            <w:tcW w:w="4247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实际值为100%得满分，每降低1%扣权重分的 10%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扣完为止。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before="124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绩效自评覆盖率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9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考察部门项目绩效自评覆盖程度。</w:t>
            </w:r>
          </w:p>
        </w:tc>
        <w:tc>
          <w:tcPr>
            <w:tcW w:w="4247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得分= 绩效自评覆盖率* 权重。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top"/>
          </w:tcPr>
          <w:p>
            <w:pPr>
              <w:spacing w:before="124" w:line="185" w:lineRule="auto"/>
              <w:ind w:firstLine="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绩效指标体系构建情况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构建完善</w:t>
            </w:r>
          </w:p>
        </w:tc>
        <w:tc>
          <w:tcPr>
            <w:tcW w:w="97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构建完善</w:t>
            </w:r>
          </w:p>
        </w:tc>
        <w:tc>
          <w:tcPr>
            <w:tcW w:w="52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考察部门分行业 分领域绩效指标 和标准体系构建 情况。</w:t>
            </w:r>
          </w:p>
        </w:tc>
        <w:tc>
          <w:tcPr>
            <w:tcW w:w="4247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不具备要点1实际值得 0权重分，具备要点2实际值得50%权重分具备要点3实际值得 50%权重分。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</w:tcBorders>
            <w:vAlign w:val="top"/>
          </w:tcPr>
          <w:p>
            <w:pPr>
              <w:spacing w:before="124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重点工作管理</w:t>
            </w:r>
          </w:p>
        </w:tc>
        <w:tc>
          <w:tcPr>
            <w:tcW w:w="1400" w:type="dxa"/>
            <w:tcBorders>
              <w:top w:val="single" w:color="auto" w:sz="4" w:space="0"/>
            </w:tcBorders>
            <w:vAlign w:val="top"/>
          </w:tcPr>
          <w:p>
            <w:pPr>
              <w:spacing w:before="124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重点工作制度健全性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健全</w:t>
            </w:r>
          </w:p>
        </w:tc>
        <w:tc>
          <w:tcPr>
            <w:tcW w:w="97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健全</w:t>
            </w:r>
          </w:p>
        </w:tc>
        <w:tc>
          <w:tcPr>
            <w:tcW w:w="52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18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考察部门(单位) 对履行主要职责 或完成重点任务 的保障程度。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具备要点1实际值30%权重分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具备要点2实际值得30%权重分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具备要点3实际值得40%权重分。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36" w:lineRule="exact"/>
        <w:jc w:val="center"/>
      </w:pPr>
    </w:p>
    <w:tbl>
      <w:tblPr>
        <w:tblStyle w:val="4"/>
        <w:tblW w:w="21214" w:type="dxa"/>
        <w:tblInd w:w="7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130"/>
        <w:gridCol w:w="1413"/>
        <w:gridCol w:w="707"/>
        <w:gridCol w:w="1000"/>
        <w:gridCol w:w="506"/>
        <w:gridCol w:w="1854"/>
        <w:gridCol w:w="4247"/>
        <w:gridCol w:w="1017"/>
        <w:gridCol w:w="8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9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  <w:p>
            <w:pPr>
              <w:jc w:val="center"/>
              <w:rPr>
                <w:rFonts w:ascii="宋体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宋体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宋体"/>
                <w:sz w:val="21"/>
              </w:rPr>
            </w:pPr>
          </w:p>
          <w:p>
            <w:pPr>
              <w:spacing w:before="75" w:line="250" w:lineRule="auto"/>
              <w:ind w:left="11" w:firstLine="13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部门产出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分）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9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量</w:t>
            </w: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185" w:lineRule="auto"/>
              <w:ind w:firstLine="16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重点工作实际完成率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4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工作的实际产出  数与计划产出数  的比率。</w:t>
            </w:r>
          </w:p>
        </w:tc>
        <w:tc>
          <w:tcPr>
            <w:tcW w:w="424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得分=重点工作实际完成率* 权重 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5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质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量</w:t>
            </w: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55" w:line="185" w:lineRule="auto"/>
              <w:ind w:firstLine="16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重点工作质量达标率</w:t>
            </w:r>
          </w:p>
        </w:tc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0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工作的质量达标  产出数与实际产  出数的比率。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得分=重点工作质量达标率* 权重。</w:t>
            </w:r>
          </w:p>
        </w:tc>
        <w:tc>
          <w:tcPr>
            <w:tcW w:w="10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6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效</w:t>
            </w: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6" w:line="185" w:lineRule="auto"/>
              <w:ind w:firstLine="16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重点工作完成及时率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 实际及时完成工  作数与计划完成  工作数的比率。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得分=重点工作完成及时率* 权重。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623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239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本</w:t>
            </w: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185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公用经费控制率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92.58%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7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考察部门（单位）本年度实际支出的公用经费总额与预算安排的比率，用以反映和考核部门（单位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对机构运转成本的实际控制程度。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247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具备要点1实际值50%权重分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否则此项不得分；具备要点2实际值得50%权重分，否则此项不得分。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before="56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社会效益</w:t>
            </w:r>
          </w:p>
        </w:tc>
        <w:tc>
          <w:tcPr>
            <w:tcW w:w="141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街道绿化景观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效果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效果显著</w:t>
            </w:r>
          </w:p>
        </w:tc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效果显著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部门工作对社会发展所带来的直 接或间接影响情 况。</w:t>
            </w:r>
          </w:p>
        </w:tc>
        <w:tc>
          <w:tcPr>
            <w:tcW w:w="4247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一、定量指标评分规则：与年初指标值相比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完成指标值的，记该指标所赋全部分 值；对完成值高出指标值较多的，要分析原因，如果是由于年初指标值设定偏低造 成的，按要按照偏离度适度扣减分值； 未完成指标值的，按照完成值与指标值的比例记分。二、定性指标评分规则：根据指标完成情况分为达成年度指标、部分达成年度指标并具有一定效果、未达成年度指标且效果较差三档，分别按照该指标对应分值区间 100%-80%（含）、80%-60%（含）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60%-0（含）合理确定分值。</w:t>
            </w:r>
          </w:p>
        </w:tc>
        <w:tc>
          <w:tcPr>
            <w:tcW w:w="101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vMerge w:val="continue"/>
            <w:tcBorders/>
            <w:vAlign w:val="top"/>
          </w:tcPr>
          <w:p>
            <w:pPr>
              <w:spacing w:before="56" w:line="185" w:lineRule="auto"/>
              <w:ind w:firstLine="433"/>
              <w:jc w:val="center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绿化覆盖率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部门工作对社会发展所带来的直 接或间接影响情 况。</w:t>
            </w:r>
          </w:p>
        </w:tc>
        <w:tc>
          <w:tcPr>
            <w:tcW w:w="4247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7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56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生态效益</w:t>
            </w: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环境良好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0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before="102" w:line="180" w:lineRule="auto"/>
              <w:ind w:firstLine="3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10</w:t>
            </w:r>
          </w:p>
        </w:tc>
        <w:tc>
          <w:tcPr>
            <w:tcW w:w="18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社会公众或服务对象对部门工作效果的满意程度。</w:t>
            </w:r>
          </w:p>
        </w:tc>
        <w:tc>
          <w:tcPr>
            <w:tcW w:w="4247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57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满意度</w:t>
            </w:r>
          </w:p>
        </w:tc>
        <w:tc>
          <w:tcPr>
            <w:tcW w:w="1413" w:type="dxa"/>
            <w:vAlign w:val="top"/>
          </w:tcPr>
          <w:p>
            <w:pPr>
              <w:spacing w:before="201" w:line="1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群众满意度</w:t>
            </w:r>
          </w:p>
        </w:tc>
        <w:tc>
          <w:tcPr>
            <w:tcW w:w="707" w:type="dxa"/>
            <w:vAlign w:val="top"/>
          </w:tcPr>
          <w:p>
            <w:pPr>
              <w:spacing w:before="102" w:line="1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000" w:type="dxa"/>
            <w:vAlign w:val="top"/>
          </w:tcPr>
          <w:p>
            <w:pPr>
              <w:spacing w:before="201" w:line="1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06" w:type="dxa"/>
            <w:vAlign w:val="top"/>
          </w:tcPr>
          <w:p>
            <w:pPr>
              <w:spacing w:before="201" w:line="1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社会公众或服务 对象对部门工作 效果的满意程度。</w:t>
            </w:r>
          </w:p>
        </w:tc>
        <w:tc>
          <w:tcPr>
            <w:tcW w:w="424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1.满意度大于或等于目标值的，得满分；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2.满意度小于或等于60%的，得0分；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3.满意度在60%—目标值之间的，在0分和满分之间计算确定：得分= （实际值-60% ）/（目 标值-60% ）*权重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3539" w:type="dxa"/>
            <w:gridSpan w:val="3"/>
            <w:vAlign w:val="top"/>
          </w:tcPr>
          <w:p>
            <w:pPr>
              <w:spacing w:before="57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合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计</w:t>
            </w:r>
          </w:p>
        </w:tc>
        <w:tc>
          <w:tcPr>
            <w:tcW w:w="707" w:type="dxa"/>
            <w:vAlign w:val="top"/>
          </w:tcPr>
          <w:p>
            <w:pPr>
              <w:spacing w:before="201" w:line="1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000" w:type="dxa"/>
            <w:vAlign w:val="top"/>
          </w:tcPr>
          <w:p>
            <w:pPr>
              <w:spacing w:before="201" w:line="1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506" w:type="dxa"/>
            <w:vAlign w:val="top"/>
          </w:tcPr>
          <w:p>
            <w:pPr>
              <w:spacing w:before="102" w:line="1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854" w:type="dxa"/>
            <w:vAlign w:val="top"/>
          </w:tcPr>
          <w:p>
            <w:pPr>
              <w:spacing w:before="201" w:line="13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4247" w:type="dxa"/>
            <w:vAlign w:val="top"/>
          </w:tcPr>
          <w:p>
            <w:pPr>
              <w:spacing w:before="201" w:line="134" w:lineRule="exact"/>
              <w:ind w:firstLine="64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8" w:hRule="atLeast"/>
        </w:trPr>
        <w:tc>
          <w:tcPr>
            <w:tcW w:w="3539" w:type="dxa"/>
            <w:gridSpan w:val="3"/>
            <w:vAlign w:val="top"/>
          </w:tcPr>
          <w:p>
            <w:pPr>
              <w:spacing w:before="59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评价结论</w:t>
            </w:r>
          </w:p>
        </w:tc>
        <w:tc>
          <w:tcPr>
            <w:tcW w:w="9331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628" w:hRule="atLeast"/>
        </w:trPr>
        <w:tc>
          <w:tcPr>
            <w:tcW w:w="3539" w:type="dxa"/>
            <w:gridSpan w:val="3"/>
            <w:vAlign w:val="top"/>
          </w:tcPr>
          <w:p>
            <w:pPr>
              <w:spacing w:before="37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绩效目标完成的指标</w:t>
            </w:r>
          </w:p>
          <w:p>
            <w:pPr>
              <w:spacing w:before="71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超标完成的指标需说明偏差原因</w:t>
            </w:r>
          </w:p>
        </w:tc>
        <w:tc>
          <w:tcPr>
            <w:tcW w:w="9331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2020年我局严格落实调控、严格预售审批、严格预售资金监管制度妥善处理群众投诉；进一步加强了预售审查，严格审查项目企业资质、四证、施工合同、预售方案等资料。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5" w:hRule="atLeast"/>
        </w:trPr>
        <w:tc>
          <w:tcPr>
            <w:tcW w:w="3539" w:type="dxa"/>
            <w:gridSpan w:val="3"/>
            <w:vAlign w:val="top"/>
          </w:tcPr>
          <w:p>
            <w:pPr>
              <w:spacing w:before="57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尚未完成的绩效指标与偏差程度</w:t>
            </w:r>
          </w:p>
        </w:tc>
        <w:tc>
          <w:tcPr>
            <w:tcW w:w="9331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2020年我局绩效指标已全部完成无偏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差出现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53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before="59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尚未完成的绩效指标原因说明</w:t>
            </w:r>
          </w:p>
        </w:tc>
        <w:tc>
          <w:tcPr>
            <w:tcW w:w="9331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344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628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改进措施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0" w:line="212" w:lineRule="auto"/>
              <w:ind w:left="27" w:right="10" w:firstLine="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1.对部门预算编制、预算执行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与部门决算等的施</w:t>
            </w:r>
          </w:p>
        </w:tc>
        <w:tc>
          <w:tcPr>
            <w:tcW w:w="9331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我局对预算编制进行了科学化整理，预算执行及部门决算项目控制支出，保证执行的刚性、约束性等。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629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8" w:line="213" w:lineRule="auto"/>
              <w:ind w:left="14" w:right="10" w:hanging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2.对制度完善、人员管理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产配置等的措施</w:t>
            </w:r>
          </w:p>
        </w:tc>
        <w:tc>
          <w:tcPr>
            <w:tcW w:w="9331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我局对各项制度标准体系下一步日趋完善，行政资产管理信息化、人员管理机制及时查漏补缺完善并及时开展培训，以精益思想为指导，不断提升资产管理水平。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44" w:type="dxa"/>
          <w:trHeight w:val="359" w:hRule="atLeast"/>
        </w:trPr>
        <w:tc>
          <w:tcPr>
            <w:tcW w:w="996" w:type="dxa"/>
            <w:vAlign w:val="top"/>
          </w:tcPr>
          <w:p>
            <w:pPr>
              <w:spacing w:before="59" w:line="185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注</w:t>
            </w:r>
          </w:p>
        </w:tc>
        <w:tc>
          <w:tcPr>
            <w:tcW w:w="11874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35" w:line="185" w:lineRule="auto"/>
        <w:ind w:firstLine="738"/>
        <w:sectPr>
          <w:footerReference r:id="rId5" w:type="default"/>
          <w:pgSz w:w="16841" w:h="11907"/>
          <w:pgMar w:top="1012" w:right="1985" w:bottom="400" w:left="125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仿宋" w:hAnsi="仿宋" w:eastAsia="仿宋" w:cs="仿宋"/>
          <w:spacing w:val="-2"/>
          <w:sz w:val="24"/>
          <w:szCs w:val="24"/>
        </w:rPr>
        <w:t>备注：指标解释、评分规则依照部门整体绩效评价共性指标体系框架填写。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41AA8"/>
    <w:rsid w:val="248C001A"/>
    <w:rsid w:val="4DE41AA8"/>
    <w:rsid w:val="62E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2021-12-25T06:55:00Z</dcterms:created>
  <dc:creator>杨克飞</dc:creator>
  <cp:lastModifiedBy>杨克飞</cp:lastModifiedBy>
  <dcterms:modified xsi:type="dcterms:W3CDTF">2021-12-26T05:43:32Z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E62D73900EDC4263BCED6755A1593EC7</vt:lpwstr>
  </property>
</Properties>
</file>